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979" w:rsidRPr="00A10CEC" w:rsidRDefault="00A10CEC">
      <w:pPr>
        <w:rPr>
          <w:rFonts w:ascii="Palatino Linotype" w:hAnsi="Palatino Linotype" w:hint="eastAsia"/>
          <w:b/>
          <w:bCs/>
          <w:color w:val="auto"/>
        </w:rPr>
      </w:pPr>
      <w:r w:rsidRPr="00A10CEC">
        <w:rPr>
          <w:rFonts w:ascii="Palatino Linotype" w:hAnsi="Palatino Linotype"/>
          <w:b/>
          <w:bCs/>
          <w:color w:val="auto"/>
        </w:rPr>
        <w:t xml:space="preserve">II Domenica di Avvento: </w:t>
      </w:r>
      <w:bookmarkStart w:id="0" w:name="_GoBack"/>
      <w:bookmarkEnd w:id="0"/>
    </w:p>
    <w:p w:rsidR="004E6979" w:rsidRDefault="004E6979">
      <w:pPr>
        <w:rPr>
          <w:rFonts w:ascii="Palatino Linotype" w:hAnsi="Palatino Linotype" w:hint="eastAsia"/>
          <w:b/>
          <w:bCs/>
          <w:color w:val="FF3333"/>
        </w:rPr>
      </w:pPr>
    </w:p>
    <w:p w:rsidR="004E6979" w:rsidRDefault="00A10CEC">
      <w:pPr>
        <w:jc w:val="center"/>
        <w:rPr>
          <w:rFonts w:hint="eastAsia"/>
        </w:rPr>
      </w:pPr>
      <w:r>
        <w:rPr>
          <w:rFonts w:ascii="Palatino Linotype" w:hAnsi="Palatino Linotype"/>
          <w:b/>
          <w:bCs/>
          <w:color w:val="FF3333"/>
          <w:sz w:val="28"/>
          <w:szCs w:val="28"/>
        </w:rPr>
        <w:t>“Ogni uomo vedrà la salvezza di Dio ” (Lc 3,6)</w:t>
      </w:r>
    </w:p>
    <w:p w:rsidR="004E6979" w:rsidRDefault="004E6979">
      <w:pPr>
        <w:rPr>
          <w:rFonts w:ascii="Palatino Linotype" w:hAnsi="Palatino Linotype" w:hint="eastAsia"/>
        </w:rPr>
      </w:pPr>
    </w:p>
    <w:p w:rsidR="004E6979" w:rsidRDefault="00A10CEC">
      <w:pPr>
        <w:jc w:val="center"/>
        <w:rPr>
          <w:rFonts w:hint="eastAsia"/>
        </w:rPr>
      </w:pPr>
      <w:r>
        <w:rPr>
          <w:rFonts w:ascii="Palatino Linotype" w:hAnsi="Palatino Linotype"/>
          <w:b/>
          <w:bCs/>
        </w:rPr>
        <w:t>ACCENSIONE DELLA SECONDA CANDELA DELLA CORONA D'AVVENTO</w:t>
      </w:r>
    </w:p>
    <w:p w:rsidR="004E6979" w:rsidRDefault="004E6979">
      <w:pPr>
        <w:rPr>
          <w:rFonts w:ascii="Palatino Linotype" w:hAnsi="Palatino Linotype" w:hint="eastAsia"/>
          <w:b/>
          <w:bCs/>
        </w:rPr>
      </w:pPr>
    </w:p>
    <w:p w:rsidR="004E6979" w:rsidRDefault="00A10CEC">
      <w:pPr>
        <w:rPr>
          <w:rFonts w:ascii="Palatino Linotype" w:hAnsi="Palatino Linotype" w:hint="eastAsia"/>
          <w:i/>
          <w:iCs/>
        </w:rPr>
      </w:pPr>
      <w:r>
        <w:rPr>
          <w:rFonts w:ascii="Palatino Linotype" w:hAnsi="Palatino Linotype"/>
          <w:i/>
          <w:iCs/>
        </w:rPr>
        <w:t>Il Sacerdote celebrante assieme ai ministri si porta davanti alla corona d'Avvento, a quel punto si canta:</w:t>
      </w:r>
    </w:p>
    <w:p w:rsidR="004E6979" w:rsidRDefault="004E6979">
      <w:pPr>
        <w:pStyle w:val="Corpodeltesto"/>
        <w:rPr>
          <w:rFonts w:ascii="Palatino Linotype" w:hAnsi="Palatino Linotype" w:hint="eastAsia"/>
          <w:b/>
          <w:bCs/>
        </w:rPr>
      </w:pPr>
    </w:p>
    <w:p w:rsidR="004E6979" w:rsidRDefault="00A10CEC">
      <w:pPr>
        <w:pStyle w:val="Corpodeltesto"/>
        <w:spacing w:line="240" w:lineRule="auto"/>
        <w:rPr>
          <w:rFonts w:ascii="Palatino Linotype" w:hAnsi="Palatino Linotype" w:hint="eastAsia"/>
        </w:rPr>
      </w:pPr>
      <w:proofErr w:type="spellStart"/>
      <w:r>
        <w:rPr>
          <w:rFonts w:ascii="Palatino Linotype" w:hAnsi="Palatino Linotype"/>
          <w:b/>
          <w:bCs/>
        </w:rPr>
        <w:t>Rit</w:t>
      </w:r>
      <w:proofErr w:type="spellEnd"/>
      <w:r>
        <w:rPr>
          <w:rFonts w:ascii="Palatino Linotype" w:hAnsi="Palatino Linotype"/>
          <w:b/>
          <w:bCs/>
        </w:rPr>
        <w:t xml:space="preserve">. Gloria a </w:t>
      </w:r>
      <w:r>
        <w:rPr>
          <w:rFonts w:ascii="Palatino Linotype" w:hAnsi="Palatino Linotype"/>
          <w:b/>
          <w:bCs/>
        </w:rPr>
        <w:t>te, Cristo Gesù,</w:t>
      </w:r>
    </w:p>
    <w:p w:rsidR="004E6979" w:rsidRDefault="00A10CEC">
      <w:pPr>
        <w:pStyle w:val="Corpodeltesto"/>
        <w:spacing w:line="240" w:lineRule="auto"/>
        <w:rPr>
          <w:rFonts w:ascii="Palatino Linotype" w:hAnsi="Palatino Linotype" w:hint="eastAsia"/>
        </w:rPr>
      </w:pPr>
      <w:r>
        <w:rPr>
          <w:rFonts w:ascii="Palatino Linotype" w:hAnsi="Palatino Linotype"/>
          <w:b/>
          <w:bCs/>
        </w:rPr>
        <w:t>oggi e sempre tu regnerai!</w:t>
      </w:r>
    </w:p>
    <w:p w:rsidR="004E6979" w:rsidRDefault="00A10CEC">
      <w:pPr>
        <w:pStyle w:val="Corpodeltesto"/>
        <w:spacing w:line="240" w:lineRule="auto"/>
        <w:rPr>
          <w:rFonts w:ascii="Palatino Linotype" w:hAnsi="Palatino Linotype" w:hint="eastAsia"/>
        </w:rPr>
      </w:pPr>
      <w:r>
        <w:rPr>
          <w:rFonts w:ascii="Palatino Linotype" w:hAnsi="Palatino Linotype"/>
          <w:b/>
          <w:bCs/>
        </w:rPr>
        <w:t>Gloria a te! Presto verrai:</w:t>
      </w:r>
    </w:p>
    <w:p w:rsidR="004E6979" w:rsidRDefault="00A10CEC">
      <w:pPr>
        <w:pStyle w:val="Corpodeltesto"/>
        <w:spacing w:line="240" w:lineRule="auto"/>
        <w:rPr>
          <w:rFonts w:ascii="Palatino Linotype" w:hAnsi="Palatino Linotype" w:hint="eastAsia"/>
        </w:rPr>
      </w:pPr>
      <w:r>
        <w:rPr>
          <w:rFonts w:ascii="Palatino Linotype" w:hAnsi="Palatino Linotype"/>
          <w:b/>
          <w:bCs/>
        </w:rPr>
        <w:t>sei speranza solo tu!</w:t>
      </w:r>
    </w:p>
    <w:p w:rsidR="004E6979" w:rsidRDefault="00A10CEC">
      <w:pPr>
        <w:rPr>
          <w:rFonts w:hint="eastAsia"/>
        </w:rPr>
      </w:pPr>
      <w:r>
        <w:rPr>
          <w:rFonts w:ascii="Palatino Linotype" w:hAnsi="Palatino Linotype"/>
        </w:rPr>
        <w:t>Sia lode a te! Grande pastore,</w:t>
      </w:r>
    </w:p>
    <w:p w:rsidR="004E6979" w:rsidRDefault="00A10CEC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guidi il tuo gregge alle sorgenti</w:t>
      </w:r>
    </w:p>
    <w:p w:rsidR="004E6979" w:rsidRDefault="00A10CEC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e lo ristori con l'acqua viva.</w:t>
      </w:r>
    </w:p>
    <w:p w:rsidR="004E6979" w:rsidRDefault="00A10CEC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Solo in te pace e unità!</w:t>
      </w:r>
    </w:p>
    <w:p w:rsidR="004E6979" w:rsidRDefault="00A10CEC">
      <w:pPr>
        <w:pStyle w:val="Corpodeltesto"/>
        <w:spacing w:line="360" w:lineRule="auto"/>
        <w:rPr>
          <w:rFonts w:hint="eastAsia"/>
        </w:rPr>
      </w:pPr>
      <w:r>
        <w:rPr>
          <w:rFonts w:ascii="Palatino Linotype" w:hAnsi="Palatino Linotype"/>
        </w:rPr>
        <w:t>Amen! Alleluia!</w:t>
      </w:r>
      <w:r>
        <w:rPr>
          <w:rFonts w:ascii="Palatino Linotype" w:hAnsi="Palatino Linotype"/>
          <w:b/>
          <w:bCs/>
        </w:rPr>
        <w:t xml:space="preserve"> </w:t>
      </w:r>
      <w:proofErr w:type="spellStart"/>
      <w:r>
        <w:rPr>
          <w:rFonts w:ascii="Palatino Linotype" w:hAnsi="Palatino Linotype"/>
          <w:b/>
          <w:bCs/>
        </w:rPr>
        <w:t>Rit</w:t>
      </w:r>
      <w:proofErr w:type="spellEnd"/>
      <w:r>
        <w:rPr>
          <w:rFonts w:ascii="Palatino Linotype" w:hAnsi="Palatino Linotype"/>
          <w:b/>
          <w:bCs/>
        </w:rPr>
        <w:t>.</w:t>
      </w:r>
    </w:p>
    <w:p w:rsidR="004E6979" w:rsidRDefault="00A10CEC">
      <w:pPr>
        <w:pStyle w:val="Corpodeltesto"/>
        <w:spacing w:line="360" w:lineRule="auto"/>
        <w:rPr>
          <w:rFonts w:hint="eastAsia"/>
        </w:rPr>
      </w:pPr>
      <w:r>
        <w:rPr>
          <w:rFonts w:ascii="Palatino Linotype" w:hAnsi="Palatino Linotype"/>
          <w:i/>
          <w:iCs/>
        </w:rPr>
        <w:t>Terminato il canto s</w:t>
      </w:r>
      <w:r>
        <w:rPr>
          <w:rFonts w:ascii="Palatino Linotype" w:hAnsi="Palatino Linotype"/>
          <w:i/>
          <w:iCs/>
        </w:rPr>
        <w:t>i accende la seconda candela e si pronuncia la seguente orazione: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O Dio, presente nel cuore di ogni uomo,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rivelati a quanti sono nelle tenebre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e nell’ombra di morte,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perché nella tua luce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riconoscano l’altissima vocazione di tuoi figli,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 xml:space="preserve">da te eternamente </w:t>
      </w:r>
      <w:r>
        <w:rPr>
          <w:rFonts w:ascii="Palatino Linotype" w:hAnsi="Palatino Linotype"/>
        </w:rPr>
        <w:t>scelti,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chiamati alla grazia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e destinati alla gloria.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 xml:space="preserve">Per il nostro Signore Gesù Cristo, tuo Figlio, che è Dio, 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e vive e regna con te, nell’unità dello Spirito Santo,</w:t>
      </w:r>
    </w:p>
    <w:p w:rsidR="004E6979" w:rsidRDefault="00A10CEC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per tutti i secoli dei secoli.</w:t>
      </w:r>
    </w:p>
    <w:p w:rsidR="004E6979" w:rsidRDefault="00A10CEC">
      <w:pPr>
        <w:rPr>
          <w:rFonts w:hint="eastAsia"/>
        </w:rPr>
      </w:pPr>
      <w:r>
        <w:rPr>
          <w:rFonts w:ascii="Palatino Linotype" w:hAnsi="Palatino Linotype"/>
          <w:b/>
          <w:bCs/>
        </w:rPr>
        <w:t>Amen.</w:t>
      </w:r>
    </w:p>
    <w:p w:rsidR="004E6979" w:rsidRDefault="004E6979">
      <w:pPr>
        <w:rPr>
          <w:rFonts w:ascii="Palatino Linotype" w:hAnsi="Palatino Linotype" w:hint="eastAsia"/>
          <w:b/>
          <w:bCs/>
        </w:rPr>
      </w:pPr>
    </w:p>
    <w:p w:rsidR="004E6979" w:rsidRDefault="00A10CEC">
      <w:pPr>
        <w:rPr>
          <w:rFonts w:ascii="Palatino Linotype" w:hAnsi="Palatino Linotype" w:hint="eastAsia"/>
          <w:i/>
          <w:iCs/>
        </w:rPr>
      </w:pPr>
      <w:r>
        <w:rPr>
          <w:rFonts w:ascii="Palatino Linotype" w:hAnsi="Palatino Linotype"/>
          <w:i/>
          <w:iCs/>
        </w:rPr>
        <w:t>A questo punto si esegue il canto d'ingresso.</w:t>
      </w:r>
    </w:p>
    <w:p w:rsidR="004E6979" w:rsidRDefault="00A10CEC">
      <w:pPr>
        <w:rPr>
          <w:rFonts w:hint="eastAsia"/>
        </w:rPr>
      </w:pPr>
      <w:r>
        <w:rPr>
          <w:rFonts w:ascii="Palatino Linotype" w:hAnsi="Palatino Linotype"/>
          <w:i/>
          <w:iCs/>
        </w:rPr>
        <w:t xml:space="preserve">Terminato il canto il commentatore introduce la celebrazione: </w:t>
      </w:r>
    </w:p>
    <w:p w:rsidR="004E6979" w:rsidRDefault="004E6979">
      <w:pPr>
        <w:rPr>
          <w:rFonts w:ascii="Palatino Linotype" w:hAnsi="Palatino Linotype" w:hint="eastAsia"/>
        </w:rPr>
      </w:pPr>
    </w:p>
    <w:p w:rsidR="004E6979" w:rsidRDefault="00A10CEC">
      <w:pPr>
        <w:rPr>
          <w:rFonts w:ascii="Palatino Linotype" w:hAnsi="Palatino Linotype" w:hint="eastAsia"/>
          <w:b/>
          <w:bCs/>
        </w:rPr>
      </w:pPr>
      <w:r>
        <w:rPr>
          <w:rFonts w:ascii="Palatino Linotype" w:hAnsi="Palatino Linotype"/>
          <w:b/>
          <w:bCs/>
        </w:rPr>
        <w:t xml:space="preserve">Monizione introduttiva: </w:t>
      </w:r>
    </w:p>
    <w:p w:rsidR="004E6979" w:rsidRDefault="00A10CEC">
      <w:pPr>
        <w:jc w:val="both"/>
        <w:rPr>
          <w:rFonts w:hint="eastAsia"/>
          <w:color w:val="111111"/>
        </w:rPr>
      </w:pPr>
      <w:r>
        <w:rPr>
          <w:rFonts w:ascii="Book Antiqua" w:hAnsi="Book Antiqua"/>
          <w:color w:val="111111"/>
        </w:rPr>
        <w:t xml:space="preserve">Ogni cristiano, passo dopo passo, prende consapevolezza di dover contribuire alla realizzazione del disegno che Dio ha affidato all'uomo e alle sue mani, collaborando </w:t>
      </w:r>
      <w:r>
        <w:rPr>
          <w:rFonts w:ascii="Book Antiqua" w:hAnsi="Book Antiqua"/>
          <w:color w:val="111111"/>
        </w:rPr>
        <w:t xml:space="preserve">cioè, </w:t>
      </w:r>
      <w:r>
        <w:rPr>
          <w:rFonts w:ascii="Book Antiqua" w:hAnsi="Book Antiqua"/>
          <w:color w:val="111111"/>
        </w:rPr>
        <w:lastRenderedPageBreak/>
        <w:t>all’opera di creazione e dando il meglio di se stesso.</w:t>
      </w:r>
      <w:r>
        <w:rPr>
          <w:rFonts w:ascii="Palatino Linotype" w:hAnsi="Palatino Linotype"/>
          <w:color w:val="111111"/>
        </w:rPr>
        <w:t xml:space="preserve"> Ma per dare il meglio è necessario sperimentare lo sguardo salvifico e liberatore di Dio su se stessi. La conversione è la disponibilità a lasciarsi guardare da Dio per quello che siamo. La chiam</w:t>
      </w:r>
      <w:r>
        <w:rPr>
          <w:rFonts w:ascii="Palatino Linotype" w:hAnsi="Palatino Linotype"/>
          <w:color w:val="111111"/>
        </w:rPr>
        <w:t>ata alla salvezza necessita di una risposta forte e sincera. Ecco che questa seconda domenica di Avvento ci richiama a ciò che il prefazio fra poco ci farà pregare: “</w:t>
      </w:r>
      <w:r>
        <w:rPr>
          <w:rFonts w:ascii="Palatino Linotype" w:hAnsi="Palatino Linotype"/>
          <w:i/>
          <w:iCs/>
          <w:color w:val="111111"/>
        </w:rPr>
        <w:t>Ora egli viene incontro a noi in ogni uomo e in ogni tempo, perché lo accogliamo nella fed</w:t>
      </w:r>
      <w:r>
        <w:rPr>
          <w:rFonts w:ascii="Palatino Linotype" w:hAnsi="Palatino Linotype"/>
          <w:i/>
          <w:iCs/>
          <w:color w:val="111111"/>
        </w:rPr>
        <w:t>e e testimoniamo nell’amore la beata speranza del suo regno.</w:t>
      </w:r>
      <w:r>
        <w:rPr>
          <w:rFonts w:ascii="Palatino Linotype" w:hAnsi="Palatino Linotype"/>
          <w:color w:val="111111"/>
        </w:rPr>
        <w:t xml:space="preserve">” </w:t>
      </w:r>
    </w:p>
    <w:p w:rsidR="004E6979" w:rsidRDefault="004E6979">
      <w:pPr>
        <w:jc w:val="both"/>
        <w:rPr>
          <w:rFonts w:ascii="Palatino Linotype" w:hAnsi="Palatino Linotype" w:hint="eastAsia"/>
        </w:rPr>
      </w:pPr>
    </w:p>
    <w:p w:rsidR="004E6979" w:rsidRDefault="00A10CEC">
      <w:pPr>
        <w:jc w:val="both"/>
        <w:rPr>
          <w:rFonts w:hint="eastAsia"/>
          <w:b/>
          <w:bCs/>
          <w:color w:val="111111"/>
          <w:u w:val="single"/>
        </w:rPr>
      </w:pPr>
      <w:r>
        <w:rPr>
          <w:rFonts w:ascii="Palatino Linotype" w:hAnsi="Palatino Linotype"/>
          <w:b/>
          <w:bCs/>
          <w:color w:val="111111"/>
          <w:u w:val="single"/>
        </w:rPr>
        <w:t>Si suggerisce di utilizzare il prefazio I/A</w:t>
      </w:r>
    </w:p>
    <w:p w:rsidR="004E6979" w:rsidRDefault="00A10CEC">
      <w:pPr>
        <w:jc w:val="both"/>
        <w:rPr>
          <w:rFonts w:hint="eastAsia"/>
        </w:rPr>
      </w:pPr>
      <w:r>
        <w:rPr>
          <w:rFonts w:ascii="Palatino Linotype" w:hAnsi="Palatino Linotype"/>
          <w:color w:val="111111"/>
        </w:rPr>
        <w:br/>
      </w:r>
      <w:r>
        <w:rPr>
          <w:rFonts w:ascii="Palatino Linotype" w:hAnsi="Palatino Linotype"/>
          <w:b/>
          <w:bCs/>
        </w:rPr>
        <w:t xml:space="preserve">Segno: </w:t>
      </w:r>
      <w:r>
        <w:rPr>
          <w:rFonts w:ascii="Palatino Linotype" w:hAnsi="Palatino Linotype"/>
        </w:rPr>
        <w:t xml:space="preserve">Porre attenzione </w:t>
      </w:r>
      <w:r>
        <w:rPr>
          <w:rFonts w:ascii="Palatino Linotype" w:hAnsi="Palatino Linotype"/>
        </w:rPr>
        <w:t>al momento della Presentazione dei doni (offertorio)</w:t>
      </w:r>
      <w:r>
        <w:rPr>
          <w:rFonts w:ascii="Palatino Linotype" w:hAnsi="Palatino Linotype"/>
        </w:rPr>
        <w:t xml:space="preserve">. Per permettere ai fedeli di comprendere appieno ciò che accade durante la presentazione </w:t>
      </w:r>
      <w:r>
        <w:rPr>
          <w:rFonts w:ascii="Palatino Linotype" w:hAnsi="Palatino Linotype"/>
          <w:u w:val="single"/>
        </w:rPr>
        <w:t>si suggerisce di non eseguire il canto d'offertorio</w:t>
      </w:r>
      <w:r>
        <w:rPr>
          <w:rFonts w:ascii="Palatino Linotype" w:hAnsi="Palatino Linotype"/>
        </w:rPr>
        <w:t xml:space="preserve"> per fare parlare la preghiera di benedizione sui doni. Mentre si legge la monizione si può fare la processione con</w:t>
      </w:r>
      <w:r>
        <w:rPr>
          <w:rFonts w:ascii="Palatino Linotype" w:hAnsi="Palatino Linotype"/>
        </w:rPr>
        <w:t xml:space="preserve"> i doni che può, per darne maggior risalto, essere accompagnata dai ceri e dal turibolo con l'incenso. Inoltre si suggerisce di pronunciare a voce alta la preghiera di </w:t>
      </w:r>
      <w:proofErr w:type="spellStart"/>
      <w:r>
        <w:rPr>
          <w:rFonts w:ascii="Palatino Linotype" w:hAnsi="Palatino Linotype"/>
        </w:rPr>
        <w:t>immixtio</w:t>
      </w:r>
      <w:proofErr w:type="spellEnd"/>
      <w:r>
        <w:rPr>
          <w:rFonts w:ascii="Palatino Linotype" w:hAnsi="Palatino Linotype"/>
        </w:rPr>
        <w:t xml:space="preserve"> dell'acqua nel vino a sottolineare che l'incarnazione è la porta della nostra s</w:t>
      </w:r>
      <w:r>
        <w:rPr>
          <w:rFonts w:ascii="Palatino Linotype" w:hAnsi="Palatino Linotype"/>
        </w:rPr>
        <w:t xml:space="preserve">alvezza. </w:t>
      </w:r>
    </w:p>
    <w:p w:rsidR="004E6979" w:rsidRDefault="004E6979">
      <w:pPr>
        <w:jc w:val="both"/>
        <w:rPr>
          <w:rFonts w:ascii="Palatino Linotype" w:hAnsi="Palatino Linotype" w:hint="eastAsia"/>
        </w:rPr>
      </w:pPr>
    </w:p>
    <w:p w:rsidR="004E6979" w:rsidRDefault="00A10CEC">
      <w:pPr>
        <w:jc w:val="both"/>
        <w:rPr>
          <w:rFonts w:hint="eastAsia"/>
          <w:b/>
          <w:bCs/>
        </w:rPr>
      </w:pPr>
      <w:r>
        <w:rPr>
          <w:rFonts w:ascii="Palatino Linotype" w:hAnsi="Palatino Linotype"/>
          <w:b/>
          <w:bCs/>
        </w:rPr>
        <w:t>Monizione mentre viene preparato l'altare:</w:t>
      </w:r>
      <w:r>
        <w:rPr>
          <w:rFonts w:ascii="Palatino Linotype" w:hAnsi="Palatino Linotype"/>
        </w:rPr>
        <w:t xml:space="preserve"> </w:t>
      </w:r>
    </w:p>
    <w:p w:rsidR="004E6979" w:rsidRDefault="00A10CEC">
      <w:pPr>
        <w:jc w:val="both"/>
        <w:rPr>
          <w:rFonts w:hint="eastAsia"/>
        </w:rPr>
      </w:pPr>
      <w:r>
        <w:rPr>
          <w:rFonts w:ascii="Palatino Linotype" w:hAnsi="Palatino Linotype"/>
        </w:rPr>
        <w:t xml:space="preserve">La presentazione dei doni che stiamo vivendo è </w:t>
      </w:r>
      <w:proofErr w:type="spellStart"/>
      <w:r>
        <w:rPr>
          <w:rFonts w:ascii="Palatino Linotype" w:hAnsi="Palatino Linotype"/>
        </w:rPr>
        <w:t>un'insieme</w:t>
      </w:r>
      <w:proofErr w:type="spellEnd"/>
      <w:r>
        <w:rPr>
          <w:rFonts w:ascii="Palatino Linotype" w:hAnsi="Palatino Linotype"/>
        </w:rPr>
        <w:t xml:space="preserve"> profondo di gesti e parole che nelle due preghiere di benedizione sul pane e sul vino trova il suo apice. Benedire, lodare, essere grati sono g</w:t>
      </w:r>
      <w:r>
        <w:rPr>
          <w:rFonts w:ascii="Palatino Linotype" w:hAnsi="Palatino Linotype"/>
        </w:rPr>
        <w:t>li atteggiamenti principali della vita cristiana, ma prima ancora della vita umana che è creazione cioè frutto delle mani di Dio. Noi ci uniamo con il nostro lavoro a quello di Dio stesso e questa unione ci viene rivelata in maniera straordinaria dalle poc</w:t>
      </w:r>
      <w:r>
        <w:rPr>
          <w:rFonts w:ascii="Palatino Linotype" w:hAnsi="Palatino Linotype"/>
        </w:rPr>
        <w:t xml:space="preserve">he gocce d'acqua che vengono aggiunte al vino nel calice. Come dice la </w:t>
      </w:r>
      <w:proofErr w:type="spellStart"/>
      <w:r>
        <w:rPr>
          <w:rFonts w:ascii="Palatino Linotype" w:hAnsi="Palatino Linotype"/>
        </w:rPr>
        <w:t>Gaudium</w:t>
      </w:r>
      <w:proofErr w:type="spellEnd"/>
      <w:r>
        <w:rPr>
          <w:rFonts w:ascii="Palatino Linotype" w:hAnsi="Palatino Linotype"/>
        </w:rPr>
        <w:t xml:space="preserve"> et </w:t>
      </w:r>
      <w:proofErr w:type="spellStart"/>
      <w:r>
        <w:rPr>
          <w:rFonts w:ascii="Palatino Linotype" w:hAnsi="Palatino Linotype"/>
        </w:rPr>
        <w:t>Spes</w:t>
      </w:r>
      <w:proofErr w:type="spellEnd"/>
      <w:r>
        <w:rPr>
          <w:rFonts w:ascii="Palatino Linotype" w:hAnsi="Palatino Linotype"/>
        </w:rPr>
        <w:t xml:space="preserve">: </w:t>
      </w:r>
      <w:r>
        <w:rPr>
          <w:rFonts w:ascii="Palatino Linotype" w:hAnsi="Palatino Linotype" w:cs="Times New Roman"/>
        </w:rPr>
        <w:t>“</w:t>
      </w:r>
      <w:r>
        <w:rPr>
          <w:rFonts w:ascii="Palatino Linotype" w:hAnsi="Palatino Linotype" w:cs="Times New Roman"/>
          <w:i/>
          <w:iCs/>
        </w:rPr>
        <w:t>Con l'incarnazione il Figlio di Dio si è unito in certo modo ad ogni uomo</w:t>
      </w:r>
      <w:r>
        <w:rPr>
          <w:rFonts w:ascii="Palatino Linotype" w:hAnsi="Palatino Linotype" w:cs="Times New Roman"/>
        </w:rPr>
        <w:t>” (n° 22).</w:t>
      </w:r>
    </w:p>
    <w:sectPr w:rsidR="004E6979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4E6979"/>
    <w:rsid w:val="004E6979"/>
    <w:rsid w:val="00A1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  <w:rPr>
      <w:color w:val="00000A"/>
      <w:sz w:val="24"/>
    </w:rPr>
  </w:style>
  <w:style w:type="paragraph" w:styleId="Titolo1">
    <w:name w:val="heading 1"/>
    <w:basedOn w:val="Titolo"/>
    <w:pPr>
      <w:outlineLvl w:val="0"/>
    </w:pPr>
    <w:rPr>
      <w:b/>
      <w:bCs/>
      <w:sz w:val="36"/>
      <w:szCs w:val="36"/>
    </w:rPr>
  </w:style>
  <w:style w:type="paragraph" w:styleId="Titolo2">
    <w:name w:val="heading 2"/>
    <w:basedOn w:val="Titolo"/>
    <w:p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Quotations">
    <w:name w:val="Quotations"/>
    <w:basedOn w:val="Normale"/>
    <w:qFormat/>
    <w:pPr>
      <w:spacing w:after="283"/>
      <w:ind w:left="567" w:right="567"/>
    </w:pPr>
  </w:style>
  <w:style w:type="paragraph" w:customStyle="1" w:styleId="Titoloprincipale">
    <w:name w:val="Titolo principale"/>
    <w:basedOn w:val="Titolo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"/>
    <w:pPr>
      <w:spacing w:before="60"/>
      <w:jc w:val="center"/>
    </w:pPr>
    <w:rPr>
      <w:sz w:val="36"/>
      <w:szCs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0CEC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CEC"/>
    <w:rPr>
      <w:rFonts w:ascii="Tahoma" w:hAnsi="Tahoma"/>
      <w:color w:val="00000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Davide FINELLI</cp:lastModifiedBy>
  <cp:revision>9</cp:revision>
  <cp:lastPrinted>2015-11-21T10:48:00Z</cp:lastPrinted>
  <dcterms:created xsi:type="dcterms:W3CDTF">2015-11-08T17:47:00Z</dcterms:created>
  <dcterms:modified xsi:type="dcterms:W3CDTF">2015-11-21T10:48:00Z</dcterms:modified>
  <dc:language>it-IT</dc:language>
</cp:coreProperties>
</file>