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Palatino Linotype" w:hAnsi="Palatino Linotype"/>
          <w:b/>
          <w:b/>
          <w:bCs/>
          <w:color w:val="FF3333"/>
        </w:rPr>
      </w:pPr>
      <w:r>
        <w:rPr>
          <w:rFonts w:ascii="Palatino Linotype" w:hAnsi="Palatino Linotype"/>
          <w:b/>
          <w:bCs/>
          <w:color w:val="FF3333"/>
        </w:rPr>
        <w:t xml:space="preserve">I Domenica di Avvento: </w:t>
      </w:r>
    </w:p>
    <w:p>
      <w:pPr>
        <w:pStyle w:val="Normal"/>
        <w:rPr>
          <w:rFonts w:ascii="Palatino Linotype" w:hAnsi="Palatino Linotype"/>
          <w:b/>
          <w:b/>
          <w:bCs/>
          <w:color w:val="FF3333"/>
        </w:rPr>
      </w:pPr>
      <w:r>
        <w:rPr>
          <w:rFonts w:ascii="Palatino Linotype" w:hAnsi="Palatino Linotype"/>
          <w:b/>
          <w:bCs/>
          <w:color w:val="FF3333"/>
        </w:rPr>
      </w:r>
    </w:p>
    <w:p>
      <w:pPr>
        <w:pStyle w:val="Normal"/>
        <w:jc w:val="center"/>
        <w:rPr>
          <w:rFonts w:ascii="Palatino Linotype" w:hAnsi="Palatino Linotype"/>
          <w:b/>
          <w:b/>
          <w:bCs/>
          <w:color w:val="FF3333"/>
          <w:sz w:val="28"/>
          <w:szCs w:val="28"/>
        </w:rPr>
      </w:pPr>
      <w:r>
        <w:rPr>
          <w:rFonts w:ascii="Palatino Linotype" w:hAnsi="Palatino Linotype"/>
          <w:b/>
          <w:bCs/>
          <w:color w:val="FF3333"/>
          <w:sz w:val="28"/>
          <w:szCs w:val="28"/>
        </w:rPr>
        <w:t>“</w:t>
      </w:r>
      <w:r>
        <w:rPr>
          <w:rFonts w:ascii="Palatino Linotype" w:hAnsi="Palatino Linotype"/>
          <w:b/>
          <w:bCs/>
          <w:color w:val="FF3333"/>
          <w:sz w:val="28"/>
          <w:szCs w:val="28"/>
        </w:rPr>
        <w:t>Mostraci Signore la tua misericordia e donaci la tua salvezza” (Sal. 84,8)</w:t>
      </w:r>
    </w:p>
    <w:p>
      <w:pPr>
        <w:pStyle w:val="Normal"/>
        <w:jc w:val="both"/>
        <w:rPr>
          <w:rFonts w:ascii="Palatino Linotype" w:hAnsi="Palatino Linotype"/>
          <w:b/>
          <w:b/>
          <w:bCs/>
        </w:rPr>
      </w:pPr>
      <w:r>
        <w:rPr>
          <w:rFonts w:ascii="Palatino Linotype" w:hAnsi="Palatino Linotype"/>
          <w:b/>
          <w:bCs/>
        </w:rPr>
      </w:r>
    </w:p>
    <w:p>
      <w:pPr>
        <w:pStyle w:val="Normal"/>
        <w:jc w:val="center"/>
        <w:rPr>
          <w:rFonts w:ascii="Palatino Linotype" w:hAnsi="Palatino Linotype"/>
          <w:b/>
          <w:b/>
          <w:bCs/>
        </w:rPr>
      </w:pPr>
      <w:r>
        <w:rPr>
          <w:rFonts w:ascii="Palatino Linotype" w:hAnsi="Palatino Linotype"/>
          <w:b/>
          <w:bCs/>
        </w:rPr>
        <w:t>ACCENSIONE DELLA PRIMA CANDELA DELLA CORONA D'AVVENTO</w:t>
      </w:r>
    </w:p>
    <w:p>
      <w:pPr>
        <w:pStyle w:val="Normal"/>
        <w:rPr>
          <w:rFonts w:ascii="Palatino Linotype" w:hAnsi="Palatino Linotype"/>
          <w:b/>
          <w:b/>
          <w:bCs/>
        </w:rPr>
      </w:pPr>
      <w:r>
        <w:rPr>
          <w:rFonts w:ascii="Palatino Linotype" w:hAnsi="Palatino Linotype"/>
          <w:b/>
          <w:bCs/>
        </w:rPr>
      </w:r>
    </w:p>
    <w:p>
      <w:pPr>
        <w:pStyle w:val="Normal"/>
        <w:rPr/>
      </w:pPr>
      <w:r>
        <w:rPr>
          <w:rFonts w:ascii="Palatino Linotype" w:hAnsi="Palatino Linotype"/>
          <w:b w:val="false"/>
          <w:bCs w:val="false"/>
          <w:i/>
          <w:iCs/>
          <w:sz w:val="24"/>
          <w:szCs w:val="24"/>
        </w:rPr>
        <w:t>I</w:t>
      </w:r>
      <w:r>
        <w:rPr>
          <w:rFonts w:ascii="Palatino Linotype" w:hAnsi="Palatino Linotype"/>
          <w:b w:val="false"/>
          <w:bCs w:val="false"/>
          <w:i/>
          <w:iCs/>
          <w:sz w:val="24"/>
          <w:szCs w:val="24"/>
        </w:rPr>
        <w:t>l Sacerdote celebrante assieme ai ministri si porta davanti alla corona d'Avvento, a quel punto si esegue il seguente canto:</w:t>
      </w:r>
    </w:p>
    <w:p>
      <w:pPr>
        <w:pStyle w:val="Normal"/>
        <w:rPr>
          <w:b w:val="false"/>
          <w:b w:val="false"/>
          <w:bCs w:val="false"/>
          <w:i/>
          <w:i/>
          <w:iCs/>
        </w:rPr>
      </w:pPr>
      <w:r>
        <w:rPr>
          <w:b w:val="false"/>
          <w:bCs w:val="false"/>
          <w:i/>
          <w:iCs/>
        </w:rPr>
      </w:r>
    </w:p>
    <w:p>
      <w:pPr>
        <w:pStyle w:val="Corpodeltesto"/>
        <w:spacing w:lineRule="auto" w:line="240"/>
        <w:rPr>
          <w:rFonts w:ascii="Palatino Linotype" w:hAnsi="Palatino Linotype"/>
          <w:sz w:val="24"/>
          <w:szCs w:val="24"/>
        </w:rPr>
      </w:pPr>
      <w:r>
        <w:rPr>
          <w:rFonts w:ascii="Palatino Linotype" w:hAnsi="Palatino Linotype"/>
          <w:b/>
          <w:bCs/>
          <w:sz w:val="24"/>
          <w:szCs w:val="24"/>
        </w:rPr>
        <w:t>Rit. Gloria a te, Cristo Gesù,</w:t>
      </w:r>
    </w:p>
    <w:p>
      <w:pPr>
        <w:pStyle w:val="Corpodeltesto"/>
        <w:spacing w:lineRule="auto" w:line="240"/>
        <w:rPr>
          <w:rFonts w:ascii="Palatino Linotype" w:hAnsi="Palatino Linotype"/>
          <w:sz w:val="24"/>
          <w:szCs w:val="24"/>
        </w:rPr>
      </w:pPr>
      <w:r>
        <w:rPr>
          <w:rFonts w:ascii="Palatino Linotype" w:hAnsi="Palatino Linotype"/>
          <w:b/>
          <w:bCs/>
          <w:sz w:val="24"/>
          <w:szCs w:val="24"/>
        </w:rPr>
        <w:t>oggi e sempre tu regnerai!</w:t>
      </w:r>
    </w:p>
    <w:p>
      <w:pPr>
        <w:pStyle w:val="Corpodeltesto"/>
        <w:spacing w:lineRule="auto" w:line="240"/>
        <w:rPr>
          <w:rFonts w:ascii="Palatino Linotype" w:hAnsi="Palatino Linotype"/>
          <w:sz w:val="24"/>
          <w:szCs w:val="24"/>
        </w:rPr>
      </w:pPr>
      <w:r>
        <w:rPr>
          <w:rFonts w:ascii="Palatino Linotype" w:hAnsi="Palatino Linotype"/>
          <w:b/>
          <w:bCs/>
          <w:sz w:val="24"/>
          <w:szCs w:val="24"/>
        </w:rPr>
        <w:t>Gloria a te! Presto verrai:</w:t>
      </w:r>
    </w:p>
    <w:p>
      <w:pPr>
        <w:pStyle w:val="Corpodeltesto"/>
        <w:spacing w:lineRule="auto" w:line="240"/>
        <w:rPr>
          <w:rFonts w:ascii="Palatino Linotype" w:hAnsi="Palatino Linotype"/>
          <w:sz w:val="24"/>
          <w:szCs w:val="24"/>
        </w:rPr>
      </w:pPr>
      <w:r>
        <w:rPr>
          <w:rFonts w:ascii="Palatino Linotype" w:hAnsi="Palatino Linotype"/>
          <w:b/>
          <w:bCs/>
          <w:sz w:val="24"/>
          <w:szCs w:val="24"/>
        </w:rPr>
        <w:t>sei speranza solo tu!</w:t>
      </w:r>
    </w:p>
    <w:p>
      <w:pPr>
        <w:pStyle w:val="Normal"/>
        <w:spacing w:lineRule="auto" w:line="360"/>
        <w:rPr>
          <w:rFonts w:ascii="Palatino Linotype" w:hAnsi="Palatino Linotype"/>
          <w:sz w:val="24"/>
          <w:szCs w:val="24"/>
        </w:rPr>
      </w:pPr>
      <w:r>
        <w:rPr>
          <w:rFonts w:ascii="Palatino Linotype" w:hAnsi="Palatino Linotype"/>
          <w:sz w:val="24"/>
          <w:szCs w:val="24"/>
        </w:rPr>
        <w:t>Sia lode a te! Pietra angolare,</w:t>
      </w:r>
    </w:p>
    <w:p>
      <w:pPr>
        <w:pStyle w:val="Corpodeltesto"/>
        <w:spacing w:lineRule="auto" w:line="360"/>
        <w:rPr>
          <w:rFonts w:ascii="Palatino Linotype" w:hAnsi="Palatino Linotype"/>
          <w:sz w:val="24"/>
          <w:szCs w:val="24"/>
        </w:rPr>
      </w:pPr>
      <w:r>
        <w:rPr>
          <w:rFonts w:ascii="Palatino Linotype" w:hAnsi="Palatino Linotype"/>
          <w:sz w:val="24"/>
          <w:szCs w:val="24"/>
        </w:rPr>
        <w:t>seme nascosto, stella nel buio:</w:t>
      </w:r>
    </w:p>
    <w:p>
      <w:pPr>
        <w:pStyle w:val="Corpodeltesto"/>
        <w:spacing w:lineRule="auto" w:line="360"/>
        <w:rPr>
          <w:rFonts w:ascii="Palatino Linotype" w:hAnsi="Palatino Linotype"/>
          <w:sz w:val="24"/>
          <w:szCs w:val="24"/>
        </w:rPr>
      </w:pPr>
      <w:r>
        <w:rPr>
          <w:rFonts w:ascii="Palatino Linotype" w:hAnsi="Palatino Linotype"/>
          <w:sz w:val="24"/>
          <w:szCs w:val="24"/>
        </w:rPr>
        <w:t>In nessun altro Il mondo si salva.</w:t>
      </w:r>
    </w:p>
    <w:p>
      <w:pPr>
        <w:pStyle w:val="Corpodeltesto"/>
        <w:spacing w:lineRule="auto" w:line="360"/>
        <w:rPr>
          <w:rFonts w:ascii="Palatino Linotype" w:hAnsi="Palatino Linotype"/>
          <w:sz w:val="24"/>
          <w:szCs w:val="24"/>
        </w:rPr>
      </w:pPr>
      <w:r>
        <w:rPr>
          <w:rFonts w:ascii="Palatino Linotype" w:hAnsi="Palatino Linotype"/>
          <w:sz w:val="24"/>
          <w:szCs w:val="24"/>
        </w:rPr>
        <w:t>Solo in te pace e unità!</w:t>
      </w:r>
    </w:p>
    <w:p>
      <w:pPr>
        <w:pStyle w:val="Corpodeltesto"/>
        <w:spacing w:lineRule="auto" w:line="360"/>
        <w:rPr>
          <w:rFonts w:ascii="Palatino Linotype" w:hAnsi="Palatino Linotype"/>
          <w:b/>
          <w:b/>
          <w:bCs/>
        </w:rPr>
      </w:pPr>
      <w:r>
        <w:rPr>
          <w:rFonts w:ascii="Palatino Linotype" w:hAnsi="Palatino Linotype"/>
          <w:b w:val="false"/>
          <w:bCs w:val="false"/>
          <w:sz w:val="24"/>
          <w:szCs w:val="24"/>
        </w:rPr>
        <w:t>Amen! Alleluia!</w:t>
      </w:r>
      <w:r>
        <w:rPr>
          <w:rFonts w:ascii="Palatino Linotype" w:hAnsi="Palatino Linotype"/>
          <w:b/>
          <w:bCs/>
          <w:sz w:val="24"/>
          <w:szCs w:val="24"/>
        </w:rPr>
        <w:t xml:space="preserve"> Rit.</w:t>
      </w:r>
    </w:p>
    <w:p>
      <w:pPr>
        <w:pStyle w:val="Corpodeltesto"/>
        <w:spacing w:lineRule="auto" w:line="360"/>
        <w:rPr/>
      </w:pPr>
      <w:r>
        <w:rPr>
          <w:rFonts w:ascii="Palatino Linotype" w:hAnsi="Palatino Linotype"/>
          <w:b w:val="false"/>
          <w:bCs w:val="false"/>
          <w:i/>
          <w:iCs/>
          <w:sz w:val="24"/>
          <w:szCs w:val="24"/>
        </w:rPr>
        <w:t>Terminato il canto si accende la prima candela (si può coinvolgere i bambini nell'accensione della candela) e il sacerdote pronuncia la seguente orazione:</w:t>
      </w:r>
    </w:p>
    <w:p>
      <w:pPr>
        <w:pStyle w:val="Normal"/>
        <w:rPr/>
      </w:pPr>
      <w:r>
        <w:rPr>
          <w:rFonts w:ascii="Palatino Linotype" w:hAnsi="Palatino Linotype"/>
          <w:i w:val="false"/>
          <w:iCs w:val="false"/>
          <w:sz w:val="24"/>
          <w:szCs w:val="24"/>
          <w:lang w:val="it-IT"/>
        </w:rPr>
        <w:t>Signore della vita e della storia,</w:t>
      </w:r>
    </w:p>
    <w:p>
      <w:pPr>
        <w:pStyle w:val="Normal"/>
        <w:ind w:hanging="0"/>
        <w:rPr>
          <w:rFonts w:ascii="Palatino Linotype" w:hAnsi="Palatino Linotype"/>
          <w:i w:val="false"/>
          <w:i w:val="false"/>
          <w:iCs w:val="false"/>
          <w:sz w:val="24"/>
          <w:szCs w:val="24"/>
        </w:rPr>
      </w:pPr>
      <w:r>
        <w:rPr>
          <w:rFonts w:ascii="Palatino Linotype" w:hAnsi="Palatino Linotype"/>
          <w:i w:val="false"/>
          <w:iCs w:val="false"/>
          <w:sz w:val="24"/>
          <w:szCs w:val="24"/>
        </w:rPr>
        <w:t>davanti a te si acquieta ogni tempesta;</w:t>
      </w:r>
    </w:p>
    <w:p>
      <w:pPr>
        <w:pStyle w:val="Normal"/>
        <w:ind w:hanging="0"/>
        <w:rPr>
          <w:rFonts w:ascii="Palatino Linotype" w:hAnsi="Palatino Linotype"/>
          <w:i w:val="false"/>
          <w:i w:val="false"/>
          <w:iCs w:val="false"/>
          <w:sz w:val="24"/>
          <w:szCs w:val="24"/>
        </w:rPr>
      </w:pPr>
      <w:r>
        <w:rPr>
          <w:rFonts w:ascii="Palatino Linotype" w:hAnsi="Palatino Linotype"/>
          <w:i w:val="false"/>
          <w:iCs w:val="false"/>
          <w:sz w:val="24"/>
          <w:szCs w:val="24"/>
        </w:rPr>
        <w:t>fa’ che il tuo popolo esulti sempre</w:t>
      </w:r>
    </w:p>
    <w:p>
      <w:pPr>
        <w:pStyle w:val="Normal"/>
        <w:ind w:hanging="0"/>
        <w:rPr>
          <w:rFonts w:ascii="Palatino Linotype" w:hAnsi="Palatino Linotype"/>
          <w:i w:val="false"/>
          <w:i w:val="false"/>
          <w:iCs w:val="false"/>
          <w:sz w:val="24"/>
          <w:szCs w:val="24"/>
        </w:rPr>
      </w:pPr>
      <w:r>
        <w:rPr>
          <w:rFonts w:ascii="Palatino Linotype" w:hAnsi="Palatino Linotype"/>
          <w:i w:val="false"/>
          <w:iCs w:val="false"/>
          <w:sz w:val="24"/>
          <w:szCs w:val="24"/>
        </w:rPr>
        <w:t>nell’ascolto della tua voce,</w:t>
      </w:r>
    </w:p>
    <w:p>
      <w:pPr>
        <w:pStyle w:val="Normal"/>
        <w:ind w:hanging="0"/>
        <w:rPr>
          <w:rFonts w:ascii="Palatino Linotype" w:hAnsi="Palatino Linotype"/>
          <w:i w:val="false"/>
          <w:i w:val="false"/>
          <w:iCs w:val="false"/>
          <w:sz w:val="24"/>
          <w:szCs w:val="24"/>
        </w:rPr>
      </w:pPr>
      <w:r>
        <w:rPr>
          <w:rFonts w:ascii="Palatino Linotype" w:hAnsi="Palatino Linotype"/>
          <w:i w:val="false"/>
          <w:iCs w:val="false"/>
          <w:sz w:val="24"/>
          <w:szCs w:val="24"/>
        </w:rPr>
        <w:t>e costruisca nella speranza</w:t>
      </w:r>
    </w:p>
    <w:p>
      <w:pPr>
        <w:pStyle w:val="Normal"/>
        <w:ind w:hanging="0"/>
        <w:rPr>
          <w:rFonts w:ascii="Palatino Linotype" w:hAnsi="Palatino Linotype"/>
          <w:i w:val="false"/>
          <w:i w:val="false"/>
          <w:iCs w:val="false"/>
          <w:sz w:val="24"/>
          <w:szCs w:val="24"/>
        </w:rPr>
      </w:pPr>
      <w:r>
        <w:rPr>
          <w:rFonts w:ascii="Palatino Linotype" w:hAnsi="Palatino Linotype"/>
          <w:i w:val="false"/>
          <w:iCs w:val="false"/>
          <w:sz w:val="24"/>
          <w:szCs w:val="24"/>
        </w:rPr>
        <w:t>la serena pace del tuo regno.</w:t>
      </w:r>
    </w:p>
    <w:p>
      <w:pPr>
        <w:pStyle w:val="Normal"/>
        <w:ind w:hanging="0"/>
        <w:rPr>
          <w:rFonts w:ascii="Palatino Linotype" w:hAnsi="Palatino Linotype"/>
          <w:i w:val="false"/>
          <w:i w:val="false"/>
          <w:iCs w:val="false"/>
          <w:sz w:val="24"/>
          <w:szCs w:val="24"/>
        </w:rPr>
      </w:pPr>
      <w:r>
        <w:rPr>
          <w:rFonts w:ascii="Palatino Linotype" w:hAnsi="Palatino Linotype"/>
          <w:i w:val="false"/>
          <w:iCs w:val="false"/>
          <w:sz w:val="24"/>
          <w:szCs w:val="24"/>
        </w:rPr>
        <w:t xml:space="preserve">Per il nostro Signore Gesù Cristo, tuo Figlio, che è Dio, </w:t>
      </w:r>
    </w:p>
    <w:p>
      <w:pPr>
        <w:pStyle w:val="Normal"/>
        <w:ind w:hanging="0"/>
        <w:rPr>
          <w:rFonts w:ascii="Palatino Linotype" w:hAnsi="Palatino Linotype"/>
          <w:i w:val="false"/>
          <w:i w:val="false"/>
          <w:iCs w:val="false"/>
          <w:sz w:val="24"/>
          <w:szCs w:val="24"/>
        </w:rPr>
      </w:pPr>
      <w:r>
        <w:rPr>
          <w:rFonts w:ascii="Palatino Linotype" w:hAnsi="Palatino Linotype"/>
          <w:i w:val="false"/>
          <w:iCs w:val="false"/>
          <w:sz w:val="24"/>
          <w:szCs w:val="24"/>
        </w:rPr>
        <w:t>e vive e regna con te, nell’unità dello Spirito Santo,</w:t>
      </w:r>
    </w:p>
    <w:p>
      <w:pPr>
        <w:pStyle w:val="Normal"/>
        <w:rPr>
          <w:rFonts w:ascii="Palatino Linotype" w:hAnsi="Palatino Linotype"/>
          <w:i w:val="false"/>
          <w:i w:val="false"/>
          <w:iCs w:val="false"/>
          <w:sz w:val="24"/>
          <w:szCs w:val="24"/>
        </w:rPr>
      </w:pPr>
      <w:r>
        <w:rPr>
          <w:rFonts w:ascii="Palatino Linotype" w:hAnsi="Palatino Linotype"/>
          <w:i w:val="false"/>
          <w:iCs w:val="false"/>
          <w:sz w:val="24"/>
          <w:szCs w:val="24"/>
          <w:lang w:val="it-IT"/>
        </w:rPr>
        <w:t>per tutti i secoli dei secoli.</w:t>
      </w:r>
    </w:p>
    <w:p>
      <w:pPr>
        <w:pStyle w:val="Normal"/>
        <w:ind w:hanging="0"/>
        <w:rPr/>
      </w:pPr>
      <w:r>
        <w:rPr>
          <w:rFonts w:ascii="Palatino Linotype" w:hAnsi="Palatino Linotype"/>
          <w:b/>
          <w:bCs/>
          <w:lang w:val="it-IT"/>
        </w:rPr>
        <w:t>Amen.</w:t>
      </w:r>
    </w:p>
    <w:p>
      <w:pPr>
        <w:pStyle w:val="Normal"/>
        <w:rPr/>
      </w:pPr>
      <w:r>
        <w:rPr>
          <w:rFonts w:ascii="Palatino Linotype" w:hAnsi="Palatino Linotype"/>
          <w:b w:val="false"/>
          <w:bCs w:val="false"/>
          <w:i/>
          <w:iCs/>
          <w:lang w:val="it-IT"/>
        </w:rPr>
        <w:t>Concluso il lucernario si esegue il canto d'ingresso.</w:t>
      </w:r>
    </w:p>
    <w:p>
      <w:pPr>
        <w:pStyle w:val="Normal"/>
        <w:rPr>
          <w:rFonts w:ascii="Palatino Linotype" w:hAnsi="Palatino Linotype"/>
          <w:b w:val="false"/>
          <w:b w:val="false"/>
          <w:bCs w:val="false"/>
          <w:i/>
          <w:i/>
          <w:iCs/>
          <w:lang w:val="it-IT"/>
        </w:rPr>
      </w:pPr>
      <w:r>
        <w:rPr>
          <w:rFonts w:ascii="Palatino Linotype" w:hAnsi="Palatino Linotype"/>
          <w:b w:val="false"/>
          <w:bCs w:val="false"/>
          <w:i/>
          <w:iCs/>
          <w:lang w:val="it-IT"/>
        </w:rPr>
        <w:t xml:space="preserve">Terminato il canto il commentatore introduce la celebrazione (la monizione potrebbe essere usata come introduzione all'atto penitenziale): </w:t>
      </w:r>
    </w:p>
    <w:p>
      <w:pPr>
        <w:pStyle w:val="Normal"/>
        <w:rPr>
          <w:rFonts w:ascii="Palatino Linotype" w:hAnsi="Palatino Linotype"/>
          <w:b w:val="false"/>
          <w:b w:val="false"/>
          <w:bCs w:val="false"/>
          <w:i w:val="false"/>
          <w:i w:val="false"/>
          <w:iCs w:val="false"/>
          <w:lang w:val="it-IT"/>
        </w:rPr>
      </w:pPr>
      <w:r>
        <w:rPr>
          <w:rFonts w:ascii="Palatino Linotype" w:hAnsi="Palatino Linotype"/>
          <w:b w:val="false"/>
          <w:bCs w:val="false"/>
          <w:i w:val="false"/>
          <w:iCs w:val="false"/>
          <w:lang w:val="it-IT"/>
        </w:rPr>
      </w:r>
    </w:p>
    <w:p>
      <w:pPr>
        <w:pStyle w:val="Normal"/>
        <w:rPr>
          <w:rFonts w:ascii="Palatino Linotype" w:hAnsi="Palatino Linotype"/>
          <w:b/>
          <w:b/>
          <w:bCs/>
          <w:i w:val="false"/>
          <w:i w:val="false"/>
          <w:iCs w:val="false"/>
          <w:lang w:val="it-IT"/>
        </w:rPr>
      </w:pPr>
      <w:r>
        <w:rPr>
          <w:rFonts w:ascii="Palatino Linotype" w:hAnsi="Palatino Linotype"/>
          <w:b/>
          <w:bCs/>
          <w:i w:val="false"/>
          <w:iCs w:val="false"/>
          <w:lang w:val="it-IT"/>
        </w:rPr>
        <w:t xml:space="preserve">Monizione: </w:t>
      </w:r>
    </w:p>
    <w:p>
      <w:pPr>
        <w:pStyle w:val="Normal"/>
        <w:jc w:val="both"/>
        <w:rPr>
          <w:rFonts w:ascii="Palatino Linotype" w:hAnsi="Palatino Linotype"/>
          <w:color w:val="111111"/>
        </w:rPr>
      </w:pPr>
      <w:r>
        <w:rPr>
          <w:rFonts w:ascii="Palatino Linotype" w:hAnsi="Palatino Linotype"/>
          <w:b w:val="false"/>
          <w:bCs w:val="false"/>
          <w:i w:val="false"/>
          <w:iCs w:val="false"/>
          <w:color w:val="111111"/>
          <w:sz w:val="24"/>
          <w:lang w:val="it-IT"/>
        </w:rPr>
        <w:t>“</w:t>
      </w:r>
      <w:r>
        <w:rPr>
          <w:rFonts w:ascii="Palatino Linotype" w:hAnsi="Palatino Linotype"/>
          <w:b w:val="false"/>
          <w:bCs w:val="false"/>
          <w:i/>
          <w:iCs/>
          <w:color w:val="111111"/>
          <w:sz w:val="24"/>
          <w:lang w:val="it-IT"/>
        </w:rPr>
        <w:t xml:space="preserve">Di te ha detto il mio cuore: «Cercate il suo volto»; il tuo volto, Signore, io cerco. </w:t>
      </w:r>
      <w:r>
        <w:rPr>
          <w:rFonts w:ascii="Palatino Linotype" w:hAnsi="Palatino Linotype"/>
          <w:b w:val="false"/>
          <w:bCs w:val="false"/>
          <w:i/>
          <w:iCs/>
          <w:color w:val="111111"/>
          <w:sz w:val="24"/>
        </w:rPr>
        <w:t>Non nascondermi il tuo volto.</w:t>
      </w:r>
      <w:r>
        <w:rPr>
          <w:rFonts w:ascii="Palatino Linotype" w:hAnsi="Palatino Linotype"/>
          <w:b w:val="false"/>
          <w:bCs w:val="false"/>
          <w:i w:val="false"/>
          <w:iCs w:val="false"/>
          <w:color w:val="111111"/>
          <w:sz w:val="24"/>
          <w:lang w:val="it-IT"/>
        </w:rPr>
        <w:t>” (Sal, 27,8-9) Il salmista esprime la verità di tutta la vita cristiana, cercare Dio e il suo volto è il desiderio nascosto di ogni cuore. L'orazione colletta ci invita ad andare incontro al Signore che viene con le buone opere. Invita cioè ad essere disponibili concretamente ad accogliere la sua presenza in mezzo a noi e a tradurla nella quotidianità. Attraverso la profezia di Geremia, che ci fa pregustare la giustizia, dono prezioso del Signore e l'esortazione di Paolo ai Tessalonicesi a seguire Gesù come “</w:t>
      </w:r>
      <w:r>
        <w:rPr>
          <w:rFonts w:ascii="Palatino Linotype" w:hAnsi="Palatino Linotype"/>
          <w:b w:val="false"/>
          <w:bCs w:val="false"/>
          <w:i/>
          <w:iCs/>
          <w:color w:val="111111"/>
          <w:sz w:val="24"/>
          <w:lang w:val="it-IT"/>
        </w:rPr>
        <w:t>regola di vita</w:t>
      </w:r>
      <w:r>
        <w:rPr>
          <w:rFonts w:ascii="Palatino Linotype" w:hAnsi="Palatino Linotype"/>
          <w:b w:val="false"/>
          <w:bCs w:val="false"/>
          <w:i w:val="false"/>
          <w:iCs w:val="false"/>
          <w:color w:val="111111"/>
          <w:sz w:val="24"/>
          <w:lang w:val="it-IT"/>
        </w:rPr>
        <w:t>” e soprattutto grazie alla profezia di liberazione dal giogo del peccato e della caducità proclamata nel Vangelo si attua per noi ciò che pregheremo nell'orazione dopo la comunione: “</w:t>
      </w:r>
      <w:r>
        <w:rPr>
          <w:rFonts w:ascii="Palatino Linotype" w:hAnsi="Palatino Linotype"/>
          <w:b w:val="false"/>
          <w:bCs w:val="false"/>
          <w:i/>
          <w:iCs/>
          <w:color w:val="111111"/>
          <w:sz w:val="24"/>
          <w:lang w:val="it-IT"/>
        </w:rPr>
        <w:t>la partecipazione a questo sacramento rivela il senso cristiano della vita</w:t>
      </w:r>
      <w:r>
        <w:rPr>
          <w:rFonts w:ascii="Palatino Linotype" w:hAnsi="Palatino Linotype"/>
          <w:b w:val="false"/>
          <w:bCs w:val="false"/>
          <w:i w:val="false"/>
          <w:iCs w:val="false"/>
          <w:color w:val="111111"/>
          <w:sz w:val="24"/>
          <w:lang w:val="it-IT"/>
        </w:rPr>
        <w:t xml:space="preserve">.” </w:t>
      </w:r>
    </w:p>
    <w:p>
      <w:pPr>
        <w:pStyle w:val="Normal"/>
        <w:jc w:val="both"/>
        <w:rPr>
          <w:rFonts w:ascii="Palatino Linotype" w:hAnsi="Palatino Linotype"/>
          <w:color w:val="111111"/>
        </w:rPr>
      </w:pPr>
      <w:r>
        <w:rPr>
          <w:rFonts w:ascii="Palatino Linotype" w:hAnsi="Palatino Linotype"/>
          <w:b w:val="false"/>
          <w:bCs w:val="false"/>
          <w:i w:val="false"/>
          <w:iCs w:val="false"/>
          <w:color w:val="111111"/>
          <w:sz w:val="24"/>
          <w:lang w:val="it-IT"/>
        </w:rPr>
        <w:t>Vegliamo e preghiamo per essere pronti e degni di accogliere il Signore che viene.</w:t>
      </w:r>
    </w:p>
    <w:p>
      <w:pPr>
        <w:pStyle w:val="Normal"/>
        <w:jc w:val="both"/>
        <w:rPr>
          <w:rFonts w:ascii="Palatino Linotype" w:hAnsi="Palatino Linotype"/>
          <w:color w:val="111111"/>
        </w:rPr>
      </w:pPr>
      <w:r>
        <w:rPr>
          <w:rFonts w:ascii="Palatino Linotype" w:hAnsi="Palatino Linotype"/>
          <w:b w:val="false"/>
          <w:bCs w:val="false"/>
          <w:i w:val="false"/>
          <w:iCs w:val="false"/>
          <w:color w:val="111111"/>
          <w:sz w:val="24"/>
          <w:lang w:val="it-IT"/>
        </w:rPr>
        <w:br/>
      </w:r>
    </w:p>
    <w:p>
      <w:pPr>
        <w:pStyle w:val="Normal"/>
        <w:rPr/>
      </w:pPr>
      <w:r>
        <w:rPr>
          <w:rFonts w:ascii="Palatino Linotype" w:hAnsi="Palatino Linotype"/>
          <w:b/>
          <w:bCs/>
        </w:rPr>
        <w:t xml:space="preserve">Segno: </w:t>
      </w:r>
      <w:r>
        <w:rPr>
          <w:rFonts w:ascii="Palatino Linotype" w:hAnsi="Palatino Linotype"/>
          <w:b w:val="false"/>
          <w:bCs w:val="false"/>
        </w:rPr>
        <w:t>Porre attenzione allo scambio della pace, come condizione iniziale di una vita la cui regola sia il Vangelo.</w:t>
      </w:r>
    </w:p>
    <w:p>
      <w:pPr>
        <w:pStyle w:val="Normal"/>
        <w:jc w:val="both"/>
        <w:rPr/>
      </w:pPr>
      <w:r>
        <w:rPr>
          <w:rFonts w:ascii="Palatino Linotype" w:hAnsi="Palatino Linotype"/>
          <w:b w:val="false"/>
          <w:bCs w:val="false"/>
        </w:rPr>
        <w:t>Si suggerisce di introdurre lo scambio di pace con la seconda formula del Messale: “</w:t>
      </w:r>
      <w:r>
        <w:rPr>
          <w:rFonts w:ascii="Palatino Linotype" w:hAnsi="Palatino Linotype"/>
          <w:b w:val="false"/>
          <w:bCs w:val="false"/>
          <w:i/>
          <w:iCs/>
        </w:rPr>
        <w:t>Come figli del Dio della pace, scambiatevi un gesto di comunione fraterna.</w:t>
      </w:r>
      <w:r>
        <w:rPr>
          <w:rFonts w:ascii="Palatino Linotype" w:hAnsi="Palatino Linotype"/>
          <w:b w:val="false"/>
          <w:bCs w:val="false"/>
          <w:i w:val="false"/>
          <w:iCs w:val="false"/>
        </w:rPr>
        <w:t>”</w:t>
      </w:r>
    </w:p>
    <w:p>
      <w:pPr>
        <w:pStyle w:val="Normal"/>
        <w:jc w:val="both"/>
        <w:rPr>
          <w:rFonts w:ascii="Palatino Linotype" w:hAnsi="Palatino Linotype"/>
          <w:b w:val="false"/>
          <w:b w:val="false"/>
          <w:bCs w:val="false"/>
          <w:i w:val="false"/>
          <w:i w:val="false"/>
          <w:iCs w:val="false"/>
        </w:rPr>
      </w:pPr>
      <w:r>
        <w:rPr>
          <w:rFonts w:ascii="Palatino Linotype" w:hAnsi="Palatino Linotype"/>
          <w:b w:val="false"/>
          <w:bCs w:val="false"/>
          <w:i w:val="false"/>
          <w:iCs w:val="false"/>
        </w:rPr>
      </w:r>
    </w:p>
    <w:p>
      <w:pPr>
        <w:pStyle w:val="Normal"/>
        <w:jc w:val="both"/>
        <w:rPr>
          <w:i/>
          <w:i/>
          <w:iCs/>
        </w:rPr>
      </w:pPr>
      <w:r>
        <w:rPr>
          <w:rFonts w:ascii="Palatino Linotype" w:hAnsi="Palatino Linotype"/>
          <w:b w:val="false"/>
          <w:bCs w:val="false"/>
          <w:i/>
          <w:iCs/>
        </w:rPr>
        <w:t>Introduzione al segno della Pace, da leggere da parte del commentatore prima di: La pace del Signore…</w:t>
      </w:r>
    </w:p>
    <w:p>
      <w:pPr>
        <w:pStyle w:val="Normal"/>
        <w:jc w:val="both"/>
        <w:rPr>
          <w:rFonts w:ascii="Palatino Linotype" w:hAnsi="Palatino Linotype"/>
          <w:b w:val="false"/>
          <w:b w:val="false"/>
          <w:bCs w:val="false"/>
        </w:rPr>
      </w:pPr>
      <w:r>
        <w:rPr>
          <w:rFonts w:ascii="Palatino Linotype" w:hAnsi="Palatino Linotype"/>
          <w:b w:val="false"/>
          <w:bCs w:val="false"/>
        </w:rPr>
      </w:r>
    </w:p>
    <w:p>
      <w:pPr>
        <w:pStyle w:val="Normal"/>
        <w:jc w:val="both"/>
        <w:rPr/>
      </w:pPr>
      <w:r>
        <w:rPr>
          <w:rFonts w:ascii="Palatino Linotype" w:hAnsi="Palatino Linotype"/>
          <w:b w:val="false"/>
          <w:bCs w:val="false"/>
          <w:i w:val="false"/>
          <w:iCs w:val="false"/>
        </w:rPr>
        <w:t>La pace che stiamo per scambiarci non è nostra, non ci appartiene, è dono del Signore promesso ai suoi amici nella notte in cui li ha “amati fino in fondo” (Gv 13,1), fino al dono della vita. La promessa è stata mantenuta, e dalla sera della prima Pasqua viene donata in abbondanza. È quella stessa pace che sacramentalmente ci viene donata in ogni Eucaristia e che aspetta di essere elargita con abbondanza a chi ci sta attorno. Con questo rito “</w:t>
      </w:r>
      <w:r>
        <w:rPr>
          <w:rFonts w:ascii="Palatino Linotype" w:hAnsi="Palatino Linotype"/>
          <w:b w:val="false"/>
          <w:bCs w:val="false"/>
          <w:i/>
          <w:iCs/>
        </w:rPr>
        <w:t>la Chiesa implora la pace e l'unità per se stessa e per l'intera famiglia umana e i fedeli esprimono la comunione ecclesiale e l'amore vicendevole</w:t>
      </w:r>
      <w:r>
        <w:rPr>
          <w:rFonts w:ascii="Palatino Linotype" w:hAnsi="Palatino Linotype"/>
          <w:b w:val="false"/>
          <w:bCs w:val="false"/>
          <w:i w:val="false"/>
          <w:iCs w:val="false"/>
        </w:rPr>
        <w:t>” (OGMR 82).</w:t>
      </w:r>
    </w:p>
    <w:sectPr>
      <w:type w:val="nextPage"/>
      <w:pgSz w:w="11906" w:h="16838"/>
      <w:pgMar w:left="1134" w:right="1134" w:header="0" w:top="1134" w:footer="0" w:bottom="1134" w:gutter="0"/>
      <w:pgNumType w:fmt="decimal"/>
      <w:formProt w:val="false"/>
      <w:textDirection w:val="lrTb"/>
      <w:docGrid w:type="default" w:linePitch="240" w:charSpace="4294961151"/>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Liberation Sans">
    <w:altName w:val="Arial"/>
    <w:charset w:val="00"/>
    <w:family w:val="roman"/>
    <w:pitch w:val="variable"/>
  </w:font>
  <w:font w:name="Palatino Linotype">
    <w:charset w:val="00"/>
    <w:family w:val="roman"/>
    <w:pitch w:val="variable"/>
  </w:font>
</w:fonts>
</file>

<file path=word/settings.xml><?xml version="1.0" encoding="utf-8"?>
<w:settings xmlns:w="http://schemas.openxmlformats.org/wordprocessingml/2006/main">
  <w:zoom w:percent="100"/>
  <w:defaultTabStop w:val="709"/>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imSun" w:cs="Mangal"/>
        <w:sz w:val="20"/>
        <w:szCs w:val="24"/>
        <w:lang w:val="it-IT" w:eastAsia="zh-CN" w:bidi="hi-IN"/>
      </w:rPr>
    </w:rPrDefault>
    <w:pPrDefault>
      <w:pPr/>
    </w:pPrDefault>
  </w:docDefaults>
  <w:style w:type="paragraph" w:styleId="Normal">
    <w:name w:val="Normal"/>
    <w:qFormat/>
    <w:pPr>
      <w:widowControl w:val="false"/>
      <w:bidi w:val="0"/>
      <w:jc w:val="left"/>
    </w:pPr>
    <w:rPr>
      <w:rFonts w:ascii="Liberation Serif" w:hAnsi="Liberation Serif" w:eastAsia="SimSun" w:cs="Mangal"/>
      <w:color w:val="00000A"/>
      <w:sz w:val="24"/>
      <w:szCs w:val="24"/>
      <w:lang w:val="it-IT" w:eastAsia="zh-CN" w:bidi="hi-IN"/>
    </w:rPr>
  </w:style>
  <w:style w:type="paragraph" w:styleId="Titolo1">
    <w:name w:val="Titolo 1"/>
    <w:basedOn w:val="Titolo"/>
    <w:pPr>
      <w:spacing w:before="240" w:after="120"/>
      <w:outlineLvl w:val="0"/>
    </w:pPr>
    <w:rPr>
      <w:b/>
      <w:bCs/>
      <w:sz w:val="36"/>
      <w:szCs w:val="36"/>
    </w:rPr>
  </w:style>
  <w:style w:type="paragraph" w:styleId="Titolo2">
    <w:name w:val="Titolo 2"/>
    <w:basedOn w:val="Titolo"/>
    <w:pPr>
      <w:spacing w:before="200" w:after="120"/>
      <w:outlineLvl w:val="1"/>
    </w:pPr>
    <w:rPr>
      <w:b/>
      <w:bCs/>
      <w:sz w:val="32"/>
      <w:szCs w:val="32"/>
    </w:rPr>
  </w:style>
  <w:style w:type="paragraph" w:styleId="Titolo3">
    <w:name w:val="Titolo 3"/>
    <w:basedOn w:val="Titolo"/>
    <w:pPr>
      <w:spacing w:before="140" w:after="120"/>
      <w:outlineLvl w:val="2"/>
    </w:pPr>
    <w:rPr>
      <w:b/>
      <w:bCs/>
      <w:sz w:val="28"/>
      <w:szCs w:val="28"/>
    </w:rPr>
  </w:style>
  <w:style w:type="paragraph" w:styleId="Titolo">
    <w:name w:val="Titolo"/>
    <w:basedOn w:val="Normal"/>
    <w:next w:val="Corpodeltesto"/>
    <w:qFormat/>
    <w:pPr>
      <w:keepNext/>
      <w:spacing w:before="240" w:after="120"/>
    </w:pPr>
    <w:rPr>
      <w:rFonts w:ascii="Liberation Sans" w:hAnsi="Liberation Sans" w:eastAsia="Microsoft YaHei" w:cs="Mangal"/>
      <w:sz w:val="28"/>
      <w:szCs w:val="28"/>
    </w:rPr>
  </w:style>
  <w:style w:type="paragraph" w:styleId="Corpodeltesto">
    <w:name w:val="Corpo del testo"/>
    <w:basedOn w:val="Normal"/>
    <w:pPr>
      <w:spacing w:lineRule="auto" w:line="288" w:before="0" w:after="140"/>
    </w:pPr>
    <w:rPr/>
  </w:style>
  <w:style w:type="paragraph" w:styleId="Elenco">
    <w:name w:val="Elenco"/>
    <w:basedOn w:val="Corpodeltesto"/>
    <w:pPr/>
    <w:rPr>
      <w:rFonts w:cs="Mangal"/>
    </w:rPr>
  </w:style>
  <w:style w:type="paragraph" w:styleId="Didascalia">
    <w:name w:val="Didascalia"/>
    <w:basedOn w:val="Normal"/>
    <w:pPr>
      <w:suppressLineNumbers/>
      <w:spacing w:before="120" w:after="120"/>
    </w:pPr>
    <w:rPr>
      <w:rFonts w:cs="Mangal"/>
      <w:i/>
      <w:iCs/>
      <w:sz w:val="24"/>
      <w:szCs w:val="24"/>
    </w:rPr>
  </w:style>
  <w:style w:type="paragraph" w:styleId="Indice">
    <w:name w:val="Indice"/>
    <w:basedOn w:val="Normal"/>
    <w:qFormat/>
    <w:pPr>
      <w:suppressLineNumbers/>
    </w:pPr>
    <w:rPr>
      <w:rFonts w:cs="Mangal"/>
    </w:rPr>
  </w:style>
  <w:style w:type="paragraph" w:styleId="Quotations">
    <w:name w:val="Quotations"/>
    <w:basedOn w:val="Normal"/>
    <w:qFormat/>
    <w:pPr>
      <w:spacing w:before="0" w:after="283"/>
      <w:ind w:left="567" w:right="567" w:hanging="0"/>
    </w:pPr>
    <w:rPr/>
  </w:style>
  <w:style w:type="paragraph" w:styleId="Titoloprincipale">
    <w:name w:val="Titolo principale"/>
    <w:basedOn w:val="Titolo"/>
    <w:pPr>
      <w:jc w:val="center"/>
    </w:pPr>
    <w:rPr>
      <w:b/>
      <w:bCs/>
      <w:sz w:val="56"/>
      <w:szCs w:val="56"/>
    </w:rPr>
  </w:style>
  <w:style w:type="paragraph" w:styleId="Sottotitolo">
    <w:name w:val="Sottotitolo"/>
    <w:basedOn w:val="Titolo"/>
    <w:pPr>
      <w:spacing w:before="60" w:after="120"/>
      <w:jc w:val="center"/>
    </w:pPr>
    <w:rPr>
      <w:sz w:val="36"/>
      <w:szCs w:val="3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otalTime>24</TotalTime>
  <Application>LibreOffice/5.0.1.2$Windows_x86 LibreOffice_project/81898c9f5c0d43f3473ba111d7b351050be20261</Application>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2015-11-08T17:47:32Z</dcterms:created>
  <dc:language>it-IT</dc:language>
  <dcterms:modified xsi:type="dcterms:W3CDTF">2015-11-16T15:59:45Z</dcterms:modified>
  <cp:revision>4</cp:revision>
</cp:coreProperties>
</file>